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CellMar>
          <w:left w:w="107" w:type="dxa"/>
          <w:right w:w="107" w:type="dxa"/>
        </w:tblCellMar>
        <w:tblLook w:val="0000"/>
      </w:tblPr>
      <w:tblGrid>
        <w:gridCol w:w="2880"/>
        <w:gridCol w:w="1620"/>
        <w:gridCol w:w="1620"/>
        <w:gridCol w:w="2700"/>
      </w:tblGrid>
      <w:tr w:rsidR="0007453B" w:rsidRPr="00474476" w:rsidTr="00691EA9">
        <w:tc>
          <w:tcPr>
            <w:tcW w:w="2880" w:type="dxa"/>
          </w:tcPr>
          <w:p w:rsidR="0007453B" w:rsidRPr="00474476" w:rsidRDefault="0007453B" w:rsidP="00691EA9">
            <w:pPr>
              <w:rPr>
                <w:b/>
                <w:sz w:val="21"/>
                <w:szCs w:val="21"/>
              </w:rPr>
            </w:pPr>
            <w:r w:rsidRPr="00474476">
              <w:rPr>
                <w:b/>
                <w:sz w:val="21"/>
                <w:szCs w:val="21"/>
              </w:rPr>
              <w:t>MODULE TITLE</w:t>
            </w:r>
          </w:p>
          <w:p w:rsidR="0007453B" w:rsidRPr="00474476" w:rsidRDefault="0007453B" w:rsidP="00691EA9">
            <w:pPr>
              <w:rPr>
                <w:b/>
                <w:sz w:val="21"/>
                <w:szCs w:val="21"/>
              </w:rPr>
            </w:pPr>
          </w:p>
        </w:tc>
        <w:tc>
          <w:tcPr>
            <w:tcW w:w="5940" w:type="dxa"/>
            <w:gridSpan w:val="3"/>
          </w:tcPr>
          <w:p w:rsidR="0007453B" w:rsidRPr="00474476" w:rsidRDefault="0007453B" w:rsidP="00691EA9">
            <w:pPr>
              <w:pStyle w:val="Heading3"/>
              <w:rPr>
                <w:rFonts w:ascii="Arial" w:hAnsi="Arial" w:cs="Arial"/>
                <w:sz w:val="21"/>
                <w:szCs w:val="21"/>
              </w:rPr>
            </w:pPr>
            <w:r>
              <w:rPr>
                <w:rFonts w:ascii="Arial" w:hAnsi="Arial" w:cs="Arial"/>
                <w:sz w:val="21"/>
                <w:szCs w:val="21"/>
              </w:rPr>
              <w:t>Individual and Organisational Learning</w:t>
            </w:r>
          </w:p>
        </w:tc>
      </w:tr>
      <w:tr w:rsidR="0007453B" w:rsidRPr="00474476" w:rsidTr="00691EA9">
        <w:tc>
          <w:tcPr>
            <w:tcW w:w="2880" w:type="dxa"/>
          </w:tcPr>
          <w:p w:rsidR="0007453B" w:rsidRPr="00474476" w:rsidRDefault="0007453B" w:rsidP="00691EA9">
            <w:pPr>
              <w:rPr>
                <w:b/>
                <w:sz w:val="21"/>
                <w:szCs w:val="21"/>
              </w:rPr>
            </w:pPr>
            <w:r w:rsidRPr="00474476">
              <w:rPr>
                <w:b/>
                <w:sz w:val="21"/>
                <w:szCs w:val="21"/>
              </w:rPr>
              <w:t>Module Code</w:t>
            </w:r>
          </w:p>
          <w:p w:rsidR="0007453B" w:rsidRPr="00474476" w:rsidRDefault="0007453B" w:rsidP="00691EA9">
            <w:pPr>
              <w:rPr>
                <w:b/>
                <w:sz w:val="21"/>
                <w:szCs w:val="21"/>
              </w:rPr>
            </w:pPr>
          </w:p>
        </w:tc>
        <w:tc>
          <w:tcPr>
            <w:tcW w:w="5940" w:type="dxa"/>
            <w:gridSpan w:val="3"/>
          </w:tcPr>
          <w:p w:rsidR="0007453B" w:rsidRPr="00474476" w:rsidRDefault="0007453B" w:rsidP="00691EA9">
            <w:pPr>
              <w:rPr>
                <w:sz w:val="21"/>
                <w:szCs w:val="21"/>
              </w:rPr>
            </w:pPr>
          </w:p>
        </w:tc>
      </w:tr>
      <w:tr w:rsidR="0007453B" w:rsidRPr="00474476" w:rsidTr="00691EA9">
        <w:tc>
          <w:tcPr>
            <w:tcW w:w="2880" w:type="dxa"/>
          </w:tcPr>
          <w:p w:rsidR="0007453B" w:rsidRPr="00474476" w:rsidRDefault="0007453B" w:rsidP="00691EA9">
            <w:pPr>
              <w:rPr>
                <w:b/>
                <w:sz w:val="21"/>
                <w:szCs w:val="21"/>
              </w:rPr>
            </w:pPr>
            <w:r w:rsidRPr="00474476">
              <w:rPr>
                <w:b/>
                <w:sz w:val="21"/>
                <w:szCs w:val="21"/>
              </w:rPr>
              <w:t>Level</w:t>
            </w:r>
          </w:p>
          <w:p w:rsidR="0007453B" w:rsidRPr="00474476" w:rsidRDefault="0007453B" w:rsidP="00691EA9">
            <w:pPr>
              <w:rPr>
                <w:b/>
                <w:sz w:val="21"/>
                <w:szCs w:val="21"/>
              </w:rPr>
            </w:pPr>
          </w:p>
        </w:tc>
        <w:tc>
          <w:tcPr>
            <w:tcW w:w="5940" w:type="dxa"/>
            <w:gridSpan w:val="3"/>
          </w:tcPr>
          <w:p w:rsidR="0007453B" w:rsidRPr="00474476" w:rsidRDefault="0007453B" w:rsidP="00691EA9">
            <w:pPr>
              <w:rPr>
                <w:sz w:val="21"/>
                <w:szCs w:val="21"/>
              </w:rPr>
            </w:pPr>
            <w:r w:rsidRPr="00474476">
              <w:rPr>
                <w:sz w:val="21"/>
                <w:szCs w:val="21"/>
              </w:rPr>
              <w:t>7</w:t>
            </w:r>
          </w:p>
        </w:tc>
      </w:tr>
      <w:tr w:rsidR="0007453B" w:rsidRPr="00474476" w:rsidTr="00691EA9">
        <w:tc>
          <w:tcPr>
            <w:tcW w:w="2880" w:type="dxa"/>
          </w:tcPr>
          <w:p w:rsidR="0007453B" w:rsidRPr="00474476" w:rsidRDefault="0007453B" w:rsidP="00691EA9">
            <w:pPr>
              <w:rPr>
                <w:b/>
                <w:sz w:val="21"/>
                <w:szCs w:val="21"/>
              </w:rPr>
            </w:pPr>
            <w:r w:rsidRPr="00474476">
              <w:rPr>
                <w:b/>
                <w:sz w:val="21"/>
                <w:szCs w:val="21"/>
              </w:rPr>
              <w:t>Credit Points</w:t>
            </w:r>
          </w:p>
          <w:p w:rsidR="0007453B" w:rsidRPr="00474476" w:rsidRDefault="0007453B" w:rsidP="00691EA9">
            <w:pPr>
              <w:rPr>
                <w:b/>
                <w:sz w:val="21"/>
                <w:szCs w:val="21"/>
              </w:rPr>
            </w:pPr>
          </w:p>
        </w:tc>
        <w:tc>
          <w:tcPr>
            <w:tcW w:w="5940" w:type="dxa"/>
            <w:gridSpan w:val="3"/>
          </w:tcPr>
          <w:p w:rsidR="0007453B" w:rsidRPr="00474476" w:rsidRDefault="0007453B" w:rsidP="00691EA9">
            <w:pPr>
              <w:rPr>
                <w:sz w:val="21"/>
                <w:szCs w:val="21"/>
              </w:rPr>
            </w:pPr>
            <w:r w:rsidRPr="00474476">
              <w:rPr>
                <w:sz w:val="21"/>
                <w:szCs w:val="21"/>
              </w:rPr>
              <w:t>15</w:t>
            </w:r>
          </w:p>
        </w:tc>
      </w:tr>
      <w:tr w:rsidR="0007453B" w:rsidRPr="00474476" w:rsidTr="00691EA9">
        <w:tc>
          <w:tcPr>
            <w:tcW w:w="2880" w:type="dxa"/>
          </w:tcPr>
          <w:p w:rsidR="0007453B" w:rsidRPr="00474476" w:rsidRDefault="0007453B" w:rsidP="00691EA9">
            <w:pPr>
              <w:rPr>
                <w:b/>
                <w:sz w:val="21"/>
                <w:szCs w:val="21"/>
              </w:rPr>
            </w:pPr>
            <w:r w:rsidRPr="00474476">
              <w:rPr>
                <w:b/>
                <w:sz w:val="21"/>
                <w:szCs w:val="21"/>
              </w:rPr>
              <w:t xml:space="preserve">Indicative Assessment Components &amp; </w:t>
            </w:r>
          </w:p>
          <w:p w:rsidR="0007453B" w:rsidRPr="00474476" w:rsidRDefault="0007453B" w:rsidP="00691EA9">
            <w:pPr>
              <w:rPr>
                <w:b/>
                <w:sz w:val="21"/>
                <w:szCs w:val="21"/>
              </w:rPr>
            </w:pPr>
            <w:r w:rsidRPr="00474476">
              <w:rPr>
                <w:b/>
                <w:sz w:val="21"/>
                <w:szCs w:val="21"/>
              </w:rPr>
              <w:t>Percentage Weightings</w:t>
            </w:r>
          </w:p>
        </w:tc>
        <w:tc>
          <w:tcPr>
            <w:tcW w:w="5940" w:type="dxa"/>
            <w:gridSpan w:val="3"/>
          </w:tcPr>
          <w:p w:rsidR="0007453B" w:rsidRPr="00474476" w:rsidRDefault="0007453B" w:rsidP="00691EA9">
            <w:pPr>
              <w:rPr>
                <w:iCs/>
                <w:sz w:val="21"/>
                <w:szCs w:val="21"/>
              </w:rPr>
            </w:pPr>
            <w:r w:rsidRPr="00474476">
              <w:rPr>
                <w:iCs/>
                <w:sz w:val="21"/>
                <w:szCs w:val="21"/>
              </w:rPr>
              <w:t>Coursework 100%</w:t>
            </w:r>
          </w:p>
        </w:tc>
      </w:tr>
      <w:tr w:rsidR="0007453B" w:rsidRPr="00474476" w:rsidTr="00691EA9">
        <w:tc>
          <w:tcPr>
            <w:tcW w:w="2880" w:type="dxa"/>
          </w:tcPr>
          <w:p w:rsidR="0007453B" w:rsidRPr="00474476" w:rsidRDefault="0007453B" w:rsidP="00691EA9">
            <w:pPr>
              <w:rPr>
                <w:b/>
                <w:sz w:val="21"/>
                <w:szCs w:val="21"/>
              </w:rPr>
            </w:pPr>
            <w:r w:rsidRPr="00474476">
              <w:rPr>
                <w:b/>
                <w:sz w:val="21"/>
                <w:szCs w:val="21"/>
              </w:rPr>
              <w:t>Pre-Requisite Modules</w:t>
            </w:r>
          </w:p>
          <w:p w:rsidR="0007453B" w:rsidRPr="00474476" w:rsidRDefault="0007453B" w:rsidP="00691EA9">
            <w:pPr>
              <w:rPr>
                <w:b/>
                <w:sz w:val="21"/>
                <w:szCs w:val="21"/>
              </w:rPr>
            </w:pPr>
            <w:r w:rsidRPr="00474476">
              <w:rPr>
                <w:b/>
                <w:i/>
                <w:sz w:val="21"/>
                <w:szCs w:val="21"/>
              </w:rPr>
              <w:t>(if applicable)</w:t>
            </w:r>
          </w:p>
        </w:tc>
        <w:tc>
          <w:tcPr>
            <w:tcW w:w="5940" w:type="dxa"/>
            <w:gridSpan w:val="3"/>
          </w:tcPr>
          <w:p w:rsidR="0007453B" w:rsidRPr="00474476" w:rsidRDefault="0007453B" w:rsidP="00691EA9">
            <w:pPr>
              <w:rPr>
                <w:sz w:val="21"/>
                <w:szCs w:val="21"/>
              </w:rPr>
            </w:pPr>
          </w:p>
          <w:p w:rsidR="0007453B" w:rsidRPr="00474476" w:rsidRDefault="0007453B" w:rsidP="00691EA9">
            <w:pPr>
              <w:rPr>
                <w:sz w:val="21"/>
                <w:szCs w:val="21"/>
              </w:rPr>
            </w:pPr>
          </w:p>
        </w:tc>
      </w:tr>
      <w:tr w:rsidR="0007453B" w:rsidRPr="00474476" w:rsidTr="00691EA9">
        <w:tc>
          <w:tcPr>
            <w:tcW w:w="2880" w:type="dxa"/>
          </w:tcPr>
          <w:p w:rsidR="0007453B" w:rsidRPr="00474476" w:rsidRDefault="0007453B" w:rsidP="00691EA9">
            <w:pPr>
              <w:rPr>
                <w:b/>
                <w:sz w:val="21"/>
                <w:szCs w:val="21"/>
              </w:rPr>
            </w:pPr>
            <w:r w:rsidRPr="00474476">
              <w:rPr>
                <w:b/>
                <w:sz w:val="21"/>
                <w:szCs w:val="21"/>
              </w:rPr>
              <w:t xml:space="preserve">Delivered according to Standard Academic Calendar </w:t>
            </w:r>
            <w:r w:rsidRPr="00474476">
              <w:rPr>
                <w:sz w:val="21"/>
                <w:szCs w:val="21"/>
              </w:rPr>
              <w:t xml:space="preserve">YES </w:t>
            </w:r>
          </w:p>
        </w:tc>
        <w:tc>
          <w:tcPr>
            <w:tcW w:w="1620" w:type="dxa"/>
          </w:tcPr>
          <w:p w:rsidR="0007453B" w:rsidRPr="00474476" w:rsidRDefault="0007453B" w:rsidP="00691EA9">
            <w:pPr>
              <w:rPr>
                <w:b/>
                <w:sz w:val="21"/>
                <w:szCs w:val="21"/>
              </w:rPr>
            </w:pPr>
            <w:r w:rsidRPr="00474476">
              <w:rPr>
                <w:b/>
                <w:sz w:val="21"/>
                <w:szCs w:val="21"/>
              </w:rPr>
              <w:t>Long:</w:t>
            </w:r>
          </w:p>
          <w:p w:rsidR="0007453B" w:rsidRPr="00474476" w:rsidRDefault="0007453B" w:rsidP="00691EA9">
            <w:pPr>
              <w:rPr>
                <w:b/>
                <w:sz w:val="21"/>
                <w:szCs w:val="21"/>
              </w:rPr>
            </w:pPr>
            <w:r w:rsidRPr="00474476">
              <w:rPr>
                <w:b/>
                <w:sz w:val="21"/>
                <w:szCs w:val="21"/>
              </w:rPr>
              <w:t xml:space="preserve">2 semesters </w:t>
            </w:r>
            <w:r w:rsidRPr="00474476">
              <w:rPr>
                <w:sz w:val="21"/>
                <w:szCs w:val="21"/>
              </w:rPr>
              <w:t>NO</w:t>
            </w:r>
          </w:p>
        </w:tc>
        <w:tc>
          <w:tcPr>
            <w:tcW w:w="1620" w:type="dxa"/>
          </w:tcPr>
          <w:p w:rsidR="0007453B" w:rsidRPr="00474476" w:rsidRDefault="0007453B" w:rsidP="00691EA9">
            <w:pPr>
              <w:rPr>
                <w:b/>
                <w:sz w:val="21"/>
                <w:szCs w:val="21"/>
              </w:rPr>
            </w:pPr>
            <w:r w:rsidRPr="00474476">
              <w:rPr>
                <w:b/>
                <w:sz w:val="21"/>
                <w:szCs w:val="21"/>
              </w:rPr>
              <w:t xml:space="preserve">Short: </w:t>
            </w:r>
          </w:p>
          <w:p w:rsidR="0007453B" w:rsidRPr="00474476" w:rsidRDefault="0007453B" w:rsidP="00691EA9">
            <w:pPr>
              <w:rPr>
                <w:sz w:val="21"/>
                <w:szCs w:val="21"/>
              </w:rPr>
            </w:pPr>
            <w:r w:rsidRPr="00474476">
              <w:rPr>
                <w:b/>
                <w:sz w:val="21"/>
                <w:szCs w:val="21"/>
              </w:rPr>
              <w:t xml:space="preserve">1 semester </w:t>
            </w:r>
          </w:p>
          <w:p w:rsidR="0007453B" w:rsidRPr="00474476" w:rsidRDefault="0007453B" w:rsidP="00691EA9">
            <w:pPr>
              <w:rPr>
                <w:b/>
                <w:sz w:val="21"/>
                <w:szCs w:val="21"/>
              </w:rPr>
            </w:pPr>
            <w:r w:rsidRPr="00474476">
              <w:rPr>
                <w:sz w:val="21"/>
                <w:szCs w:val="21"/>
              </w:rPr>
              <w:t>YES</w:t>
            </w:r>
          </w:p>
        </w:tc>
        <w:tc>
          <w:tcPr>
            <w:tcW w:w="2700" w:type="dxa"/>
          </w:tcPr>
          <w:p w:rsidR="0007453B" w:rsidRPr="00474476" w:rsidRDefault="0007453B" w:rsidP="00691EA9">
            <w:pPr>
              <w:rPr>
                <w:b/>
                <w:sz w:val="21"/>
                <w:szCs w:val="21"/>
              </w:rPr>
            </w:pPr>
            <w:r w:rsidRPr="00474476">
              <w:rPr>
                <w:b/>
                <w:sz w:val="21"/>
                <w:szCs w:val="21"/>
              </w:rPr>
              <w:t>Other delivery pattern:</w:t>
            </w:r>
          </w:p>
          <w:p w:rsidR="0007453B" w:rsidRPr="00474476" w:rsidRDefault="0007453B" w:rsidP="00691EA9">
            <w:pPr>
              <w:rPr>
                <w:i/>
                <w:sz w:val="21"/>
                <w:szCs w:val="21"/>
              </w:rPr>
            </w:pPr>
            <w:r w:rsidRPr="00474476">
              <w:rPr>
                <w:sz w:val="21"/>
                <w:szCs w:val="21"/>
              </w:rPr>
              <w:t>Block</w:t>
            </w:r>
          </w:p>
        </w:tc>
      </w:tr>
    </w:tbl>
    <w:p w:rsidR="0007453B" w:rsidRPr="00474476" w:rsidRDefault="0007453B" w:rsidP="0007453B">
      <w:pPr>
        <w:spacing w:after="120"/>
        <w:rPr>
          <w:b/>
          <w:sz w:val="21"/>
          <w:szCs w:val="21"/>
        </w:rPr>
      </w:pPr>
    </w:p>
    <w:p w:rsidR="0007453B" w:rsidRPr="00474476" w:rsidRDefault="0007453B" w:rsidP="0007453B">
      <w:pPr>
        <w:spacing w:after="120"/>
        <w:rPr>
          <w:b/>
          <w:sz w:val="21"/>
          <w:szCs w:val="21"/>
        </w:rPr>
      </w:pPr>
      <w:r w:rsidRPr="00474476">
        <w:rPr>
          <w:b/>
          <w:sz w:val="21"/>
          <w:szCs w:val="21"/>
        </w:rPr>
        <w:t>1</w:t>
      </w:r>
      <w:r w:rsidRPr="00474476">
        <w:rPr>
          <w:b/>
          <w:sz w:val="21"/>
          <w:szCs w:val="21"/>
        </w:rPr>
        <w:tab/>
        <w:t>MODULE AIMS</w:t>
      </w:r>
    </w:p>
    <w:p w:rsidR="0007453B" w:rsidRDefault="0007453B" w:rsidP="0007453B">
      <w:pPr>
        <w:spacing w:after="120"/>
        <w:ind w:left="720"/>
        <w:jc w:val="both"/>
        <w:rPr>
          <w:bCs/>
          <w:sz w:val="21"/>
          <w:szCs w:val="21"/>
        </w:rPr>
      </w:pPr>
      <w:r w:rsidRPr="00474476">
        <w:rPr>
          <w:bCs/>
          <w:sz w:val="21"/>
          <w:szCs w:val="21"/>
        </w:rPr>
        <w:t>The module has been developed using the methodologies of experiential and action learning and is designed to develop reflective and reflexive HR practitioners. The module is designed to help students to develop an understanding of current and future issues in the world of learning and development, and to engage in the process of researching, designing and delivering learning and development strategies. There is an emphasis on developing critical and analytical skills by recording experiences using a journal, to help practitioners recognize the value and importance of continual professional development. The module seeks to stimulate a level of strategic awareness and development of knowledge in the area of HRD.</w:t>
      </w:r>
    </w:p>
    <w:p w:rsidR="0007453B" w:rsidRPr="00474476" w:rsidRDefault="0007453B" w:rsidP="0007453B">
      <w:pPr>
        <w:spacing w:after="120"/>
        <w:ind w:left="720"/>
        <w:jc w:val="both"/>
        <w:rPr>
          <w:bCs/>
          <w:sz w:val="21"/>
          <w:szCs w:val="21"/>
        </w:rPr>
      </w:pPr>
    </w:p>
    <w:p w:rsidR="0007453B" w:rsidRPr="00474476" w:rsidRDefault="0007453B" w:rsidP="0007453B">
      <w:pPr>
        <w:spacing w:after="120"/>
        <w:ind w:left="709" w:hanging="709"/>
        <w:rPr>
          <w:b/>
          <w:sz w:val="21"/>
          <w:szCs w:val="21"/>
        </w:rPr>
      </w:pPr>
      <w:r w:rsidRPr="00474476">
        <w:rPr>
          <w:b/>
          <w:sz w:val="21"/>
          <w:szCs w:val="21"/>
        </w:rPr>
        <w:t>2</w:t>
      </w:r>
      <w:r w:rsidRPr="00474476">
        <w:rPr>
          <w:b/>
          <w:sz w:val="21"/>
          <w:szCs w:val="21"/>
        </w:rPr>
        <w:tab/>
        <w:t>MODULE LEARNING OUTCOMES</w:t>
      </w:r>
    </w:p>
    <w:p w:rsidR="0007453B" w:rsidRPr="00474476" w:rsidRDefault="0007453B" w:rsidP="0007453B">
      <w:pPr>
        <w:spacing w:after="120"/>
        <w:ind w:left="709"/>
        <w:rPr>
          <w:b/>
          <w:sz w:val="21"/>
          <w:szCs w:val="21"/>
        </w:rPr>
      </w:pPr>
      <w:r w:rsidRPr="00474476">
        <w:rPr>
          <w:b/>
          <w:sz w:val="21"/>
          <w:szCs w:val="21"/>
        </w:rPr>
        <w:t>BY THE END OF THE MODULE YOU WILL BE ABLE TO:</w:t>
      </w:r>
    </w:p>
    <w:p w:rsidR="0007453B" w:rsidRPr="00474476" w:rsidRDefault="0007453B" w:rsidP="0007453B">
      <w:pPr>
        <w:numPr>
          <w:ilvl w:val="0"/>
          <w:numId w:val="4"/>
        </w:numPr>
        <w:tabs>
          <w:tab w:val="clear" w:pos="720"/>
        </w:tabs>
        <w:spacing w:after="120" w:line="240" w:lineRule="auto"/>
        <w:ind w:left="1134" w:hanging="425"/>
        <w:jc w:val="both"/>
        <w:rPr>
          <w:bCs/>
          <w:sz w:val="21"/>
          <w:szCs w:val="21"/>
        </w:rPr>
      </w:pPr>
      <w:r w:rsidRPr="00474476">
        <w:rPr>
          <w:bCs/>
          <w:sz w:val="21"/>
          <w:szCs w:val="21"/>
        </w:rPr>
        <w:t>Understand the current state of knowledge relating to human resource development and organizational strategic capability;</w:t>
      </w:r>
    </w:p>
    <w:p w:rsidR="0007453B" w:rsidRPr="00474476" w:rsidRDefault="0007453B" w:rsidP="0007453B">
      <w:pPr>
        <w:numPr>
          <w:ilvl w:val="0"/>
          <w:numId w:val="4"/>
        </w:numPr>
        <w:tabs>
          <w:tab w:val="clear" w:pos="720"/>
        </w:tabs>
        <w:spacing w:after="120" w:line="240" w:lineRule="auto"/>
        <w:ind w:left="1134" w:hanging="425"/>
        <w:jc w:val="both"/>
        <w:rPr>
          <w:bCs/>
          <w:sz w:val="21"/>
          <w:szCs w:val="21"/>
        </w:rPr>
      </w:pPr>
      <w:r w:rsidRPr="00474476">
        <w:rPr>
          <w:bCs/>
          <w:sz w:val="21"/>
          <w:szCs w:val="21"/>
        </w:rPr>
        <w:t>Research, design and deliver learning and development interventions and evaluate their contribution to individual learning;</w:t>
      </w:r>
    </w:p>
    <w:p w:rsidR="0007453B" w:rsidRPr="00474476" w:rsidRDefault="0007453B" w:rsidP="0007453B">
      <w:pPr>
        <w:numPr>
          <w:ilvl w:val="0"/>
          <w:numId w:val="4"/>
        </w:numPr>
        <w:tabs>
          <w:tab w:val="clear" w:pos="720"/>
        </w:tabs>
        <w:spacing w:after="120" w:line="240" w:lineRule="auto"/>
        <w:ind w:left="1134" w:hanging="425"/>
        <w:jc w:val="both"/>
        <w:rPr>
          <w:bCs/>
          <w:sz w:val="21"/>
          <w:szCs w:val="21"/>
        </w:rPr>
      </w:pPr>
      <w:r w:rsidRPr="00474476">
        <w:rPr>
          <w:bCs/>
          <w:sz w:val="21"/>
          <w:szCs w:val="21"/>
        </w:rPr>
        <w:t>Critically analyse learning and development's contribution to building organizational capacity and facilitating change;</w:t>
      </w:r>
    </w:p>
    <w:p w:rsidR="0007453B" w:rsidRPr="00474476" w:rsidRDefault="0007453B" w:rsidP="0007453B">
      <w:pPr>
        <w:numPr>
          <w:ilvl w:val="0"/>
          <w:numId w:val="4"/>
        </w:numPr>
        <w:tabs>
          <w:tab w:val="clear" w:pos="720"/>
        </w:tabs>
        <w:spacing w:after="120" w:line="240" w:lineRule="auto"/>
        <w:ind w:left="1134" w:hanging="425"/>
        <w:jc w:val="both"/>
        <w:rPr>
          <w:bCs/>
          <w:sz w:val="21"/>
          <w:szCs w:val="21"/>
        </w:rPr>
      </w:pPr>
      <w:r w:rsidRPr="00474476">
        <w:rPr>
          <w:bCs/>
          <w:sz w:val="21"/>
          <w:szCs w:val="21"/>
        </w:rPr>
        <w:t>Understand the value of reflective and reflexive practice in developing continuing professional capability;</w:t>
      </w:r>
    </w:p>
    <w:p w:rsidR="0007453B" w:rsidRPr="00474476" w:rsidRDefault="0007453B" w:rsidP="0007453B">
      <w:pPr>
        <w:numPr>
          <w:ilvl w:val="0"/>
          <w:numId w:val="4"/>
        </w:numPr>
        <w:tabs>
          <w:tab w:val="clear" w:pos="720"/>
        </w:tabs>
        <w:spacing w:after="120" w:line="240" w:lineRule="auto"/>
        <w:ind w:left="1134" w:hanging="425"/>
        <w:jc w:val="both"/>
        <w:rPr>
          <w:bCs/>
          <w:sz w:val="21"/>
          <w:szCs w:val="21"/>
        </w:rPr>
      </w:pPr>
      <w:r w:rsidRPr="00474476">
        <w:rPr>
          <w:bCs/>
          <w:sz w:val="21"/>
          <w:szCs w:val="21"/>
        </w:rPr>
        <w:t>Make a contribution to strategic and operational decision making processes in an organizational context;</w:t>
      </w:r>
    </w:p>
    <w:p w:rsidR="0007453B" w:rsidRPr="00474476" w:rsidRDefault="0007453B" w:rsidP="0007453B">
      <w:pPr>
        <w:numPr>
          <w:ilvl w:val="0"/>
          <w:numId w:val="4"/>
        </w:numPr>
        <w:tabs>
          <w:tab w:val="clear" w:pos="720"/>
        </w:tabs>
        <w:spacing w:after="120" w:line="240" w:lineRule="auto"/>
        <w:ind w:left="1134" w:hanging="425"/>
        <w:jc w:val="both"/>
        <w:rPr>
          <w:bCs/>
          <w:sz w:val="21"/>
          <w:szCs w:val="21"/>
        </w:rPr>
      </w:pPr>
      <w:r w:rsidRPr="00474476">
        <w:rPr>
          <w:sz w:val="21"/>
          <w:szCs w:val="21"/>
        </w:rPr>
        <w:t>Critically evaluate the learning and development theories and methodology of the module.</w:t>
      </w:r>
    </w:p>
    <w:p w:rsidR="0007453B" w:rsidRPr="00474476" w:rsidRDefault="0007453B" w:rsidP="0007453B">
      <w:pPr>
        <w:pStyle w:val="GuideHeading"/>
        <w:spacing w:after="120"/>
        <w:rPr>
          <w:bCs w:val="0"/>
          <w:sz w:val="21"/>
          <w:szCs w:val="21"/>
        </w:rPr>
      </w:pPr>
      <w:r w:rsidRPr="00474476">
        <w:rPr>
          <w:sz w:val="21"/>
          <w:szCs w:val="21"/>
        </w:rPr>
        <w:br w:type="page"/>
      </w:r>
      <w:r w:rsidRPr="00474476">
        <w:rPr>
          <w:sz w:val="21"/>
          <w:szCs w:val="21"/>
        </w:rPr>
        <w:lastRenderedPageBreak/>
        <w:t>3</w:t>
      </w:r>
      <w:r w:rsidRPr="00474476">
        <w:rPr>
          <w:sz w:val="21"/>
          <w:szCs w:val="21"/>
        </w:rPr>
        <w:tab/>
        <w:t>INDICATIVE LEARNING, TEACHING AND ASSESSMENT ACTIVITIES</w:t>
      </w:r>
    </w:p>
    <w:p w:rsidR="0007453B" w:rsidRPr="00474476" w:rsidRDefault="0007453B" w:rsidP="0007453B">
      <w:pPr>
        <w:spacing w:after="120"/>
        <w:ind w:left="720"/>
        <w:jc w:val="both"/>
        <w:rPr>
          <w:bCs/>
          <w:sz w:val="21"/>
          <w:szCs w:val="21"/>
        </w:rPr>
      </w:pPr>
      <w:r w:rsidRPr="00474476">
        <w:rPr>
          <w:bCs/>
          <w:sz w:val="21"/>
          <w:szCs w:val="21"/>
        </w:rPr>
        <w:t xml:space="preserve">The module will employ experiential learning methodologies which encourage student centred learning and active engagement by students in the teaching and learning process. The initial sessions are tutor led and develop the theoretical basis for the subject, the current thinking and practice in learning and development and set up the assessment activities. Students are required to research the current themes in area of learning and development as the basis for the practical activities delivered by them during the course of the module. </w:t>
      </w:r>
    </w:p>
    <w:p w:rsidR="0007453B" w:rsidRPr="00474476" w:rsidRDefault="0007453B" w:rsidP="0007453B">
      <w:pPr>
        <w:spacing w:after="120"/>
        <w:ind w:left="720"/>
        <w:jc w:val="both"/>
        <w:rPr>
          <w:bCs/>
          <w:sz w:val="21"/>
          <w:szCs w:val="21"/>
        </w:rPr>
      </w:pPr>
      <w:r w:rsidRPr="00474476">
        <w:rPr>
          <w:bCs/>
          <w:sz w:val="21"/>
          <w:szCs w:val="21"/>
        </w:rPr>
        <w:t xml:space="preserve">The assessment is based on three tasks.  The first involves working in a small group to design, develop and deliver an interactive workshop to the class on a learning and development topic.  The group then submits a portfolio style assessment that aims to capture the group work process, the teaching materials developed and an evaluation of the workshop.  A personal learning journal will also be kept to enable a record of learning during the module and to aid reflection on this and reflexivity for the future.  This journal will help inform the third and final assessment which is an essay style assessment covering a reflective assessment of the learners journey, an element of action planning and reflexivity, learning about the topic of HRD in the workplace and a critical analysis of learning theory and the module approach. </w:t>
      </w:r>
    </w:p>
    <w:p w:rsidR="0007453B" w:rsidRPr="00474476" w:rsidRDefault="0007453B" w:rsidP="0007453B">
      <w:pPr>
        <w:spacing w:after="120"/>
        <w:ind w:left="720"/>
        <w:jc w:val="both"/>
        <w:rPr>
          <w:bCs/>
          <w:sz w:val="21"/>
          <w:szCs w:val="21"/>
        </w:rPr>
      </w:pPr>
      <w:r w:rsidRPr="00474476">
        <w:rPr>
          <w:bCs/>
          <w:sz w:val="21"/>
          <w:szCs w:val="21"/>
        </w:rPr>
        <w:t xml:space="preserve"> </w:t>
      </w:r>
    </w:p>
    <w:p w:rsidR="0007453B" w:rsidRPr="00474476" w:rsidRDefault="0007453B" w:rsidP="0007453B">
      <w:pPr>
        <w:spacing w:after="120"/>
        <w:ind w:left="720" w:hanging="720"/>
        <w:rPr>
          <w:b/>
          <w:sz w:val="21"/>
          <w:szCs w:val="21"/>
        </w:rPr>
      </w:pPr>
      <w:r w:rsidRPr="00474476">
        <w:rPr>
          <w:b/>
          <w:sz w:val="21"/>
          <w:szCs w:val="21"/>
        </w:rPr>
        <w:t>4</w:t>
      </w:r>
      <w:r w:rsidRPr="00474476">
        <w:rPr>
          <w:b/>
          <w:sz w:val="21"/>
          <w:szCs w:val="21"/>
        </w:rPr>
        <w:tab/>
        <w:t>INDICATIVE MODULE CONTENTS / TOPICS</w:t>
      </w:r>
    </w:p>
    <w:p w:rsidR="0007453B" w:rsidRPr="00474476" w:rsidRDefault="0007453B" w:rsidP="0007453B">
      <w:pPr>
        <w:numPr>
          <w:ilvl w:val="0"/>
          <w:numId w:val="3"/>
        </w:numPr>
        <w:tabs>
          <w:tab w:val="clear" w:pos="1440"/>
        </w:tabs>
        <w:spacing w:after="120" w:line="240" w:lineRule="auto"/>
        <w:ind w:left="1134" w:hanging="357"/>
        <w:jc w:val="both"/>
        <w:rPr>
          <w:bCs/>
          <w:sz w:val="21"/>
          <w:szCs w:val="21"/>
        </w:rPr>
      </w:pPr>
      <w:r w:rsidRPr="00474476">
        <w:rPr>
          <w:bCs/>
          <w:sz w:val="21"/>
          <w:szCs w:val="21"/>
        </w:rPr>
        <w:t xml:space="preserve">Experiential and Action Learning Methodologies </w:t>
      </w:r>
    </w:p>
    <w:p w:rsidR="0007453B" w:rsidRPr="00474476" w:rsidRDefault="0007453B" w:rsidP="0007453B">
      <w:pPr>
        <w:numPr>
          <w:ilvl w:val="0"/>
          <w:numId w:val="3"/>
        </w:numPr>
        <w:tabs>
          <w:tab w:val="clear" w:pos="1440"/>
        </w:tabs>
        <w:spacing w:after="120" w:line="240" w:lineRule="auto"/>
        <w:ind w:left="1134" w:hanging="357"/>
        <w:jc w:val="both"/>
        <w:rPr>
          <w:bCs/>
          <w:sz w:val="21"/>
          <w:szCs w:val="21"/>
        </w:rPr>
      </w:pPr>
      <w:r w:rsidRPr="00474476">
        <w:rPr>
          <w:bCs/>
          <w:sz w:val="21"/>
          <w:szCs w:val="21"/>
        </w:rPr>
        <w:t>The psychology of learning theory</w:t>
      </w:r>
    </w:p>
    <w:p w:rsidR="0007453B" w:rsidRPr="00474476" w:rsidRDefault="0007453B" w:rsidP="0007453B">
      <w:pPr>
        <w:numPr>
          <w:ilvl w:val="0"/>
          <w:numId w:val="3"/>
        </w:numPr>
        <w:tabs>
          <w:tab w:val="clear" w:pos="1440"/>
        </w:tabs>
        <w:spacing w:after="120" w:line="240" w:lineRule="auto"/>
        <w:ind w:left="1134" w:hanging="357"/>
        <w:jc w:val="both"/>
        <w:rPr>
          <w:bCs/>
          <w:sz w:val="21"/>
          <w:szCs w:val="21"/>
        </w:rPr>
      </w:pPr>
      <w:r w:rsidRPr="00474476">
        <w:rPr>
          <w:bCs/>
          <w:sz w:val="21"/>
          <w:szCs w:val="21"/>
        </w:rPr>
        <w:t>Human Resource Development in the knowledge economy</w:t>
      </w:r>
    </w:p>
    <w:p w:rsidR="0007453B" w:rsidRPr="00474476" w:rsidRDefault="0007453B" w:rsidP="0007453B">
      <w:pPr>
        <w:numPr>
          <w:ilvl w:val="0"/>
          <w:numId w:val="3"/>
        </w:numPr>
        <w:tabs>
          <w:tab w:val="clear" w:pos="1440"/>
        </w:tabs>
        <w:spacing w:after="120" w:line="240" w:lineRule="auto"/>
        <w:ind w:left="1134" w:hanging="357"/>
        <w:jc w:val="both"/>
        <w:rPr>
          <w:bCs/>
          <w:sz w:val="21"/>
          <w:szCs w:val="21"/>
        </w:rPr>
      </w:pPr>
      <w:r w:rsidRPr="00474476">
        <w:rPr>
          <w:bCs/>
          <w:sz w:val="21"/>
          <w:szCs w:val="21"/>
        </w:rPr>
        <w:t>Strategies for identifying training and development needs</w:t>
      </w:r>
    </w:p>
    <w:p w:rsidR="0007453B" w:rsidRPr="00474476" w:rsidRDefault="0007453B" w:rsidP="0007453B">
      <w:pPr>
        <w:numPr>
          <w:ilvl w:val="0"/>
          <w:numId w:val="3"/>
        </w:numPr>
        <w:tabs>
          <w:tab w:val="clear" w:pos="1440"/>
        </w:tabs>
        <w:spacing w:after="120" w:line="240" w:lineRule="auto"/>
        <w:ind w:left="1134" w:hanging="357"/>
        <w:jc w:val="both"/>
        <w:rPr>
          <w:bCs/>
          <w:sz w:val="21"/>
          <w:szCs w:val="21"/>
        </w:rPr>
      </w:pPr>
      <w:r w:rsidRPr="00474476">
        <w:rPr>
          <w:bCs/>
          <w:sz w:val="21"/>
          <w:szCs w:val="21"/>
        </w:rPr>
        <w:t>The integration of learning and development activity in the organisation</w:t>
      </w:r>
    </w:p>
    <w:p w:rsidR="0007453B" w:rsidRPr="00474476" w:rsidRDefault="0007453B" w:rsidP="0007453B">
      <w:pPr>
        <w:numPr>
          <w:ilvl w:val="0"/>
          <w:numId w:val="3"/>
        </w:numPr>
        <w:tabs>
          <w:tab w:val="clear" w:pos="1440"/>
        </w:tabs>
        <w:spacing w:after="120" w:line="240" w:lineRule="auto"/>
        <w:ind w:left="1134" w:hanging="357"/>
        <w:jc w:val="both"/>
        <w:rPr>
          <w:bCs/>
          <w:sz w:val="21"/>
          <w:szCs w:val="21"/>
        </w:rPr>
      </w:pPr>
      <w:r w:rsidRPr="00474476">
        <w:rPr>
          <w:bCs/>
          <w:sz w:val="21"/>
          <w:szCs w:val="21"/>
        </w:rPr>
        <w:t>Adult Learning theory</w:t>
      </w:r>
    </w:p>
    <w:p w:rsidR="0007453B" w:rsidRPr="00474476" w:rsidRDefault="0007453B" w:rsidP="0007453B">
      <w:pPr>
        <w:numPr>
          <w:ilvl w:val="0"/>
          <w:numId w:val="3"/>
        </w:numPr>
        <w:tabs>
          <w:tab w:val="clear" w:pos="1440"/>
        </w:tabs>
        <w:spacing w:after="120" w:line="240" w:lineRule="auto"/>
        <w:ind w:left="1134" w:hanging="357"/>
        <w:jc w:val="both"/>
        <w:rPr>
          <w:bCs/>
          <w:sz w:val="21"/>
          <w:szCs w:val="21"/>
        </w:rPr>
      </w:pPr>
      <w:r w:rsidRPr="00474476">
        <w:rPr>
          <w:bCs/>
          <w:sz w:val="21"/>
          <w:szCs w:val="21"/>
        </w:rPr>
        <w:t>Evaluation and measurement on ROI</w:t>
      </w:r>
    </w:p>
    <w:p w:rsidR="0007453B" w:rsidRPr="00474476" w:rsidRDefault="0007453B" w:rsidP="0007453B">
      <w:pPr>
        <w:numPr>
          <w:ilvl w:val="0"/>
          <w:numId w:val="3"/>
        </w:numPr>
        <w:tabs>
          <w:tab w:val="clear" w:pos="1440"/>
        </w:tabs>
        <w:spacing w:after="120" w:line="240" w:lineRule="auto"/>
        <w:ind w:left="1134" w:hanging="357"/>
        <w:jc w:val="both"/>
        <w:rPr>
          <w:bCs/>
          <w:sz w:val="21"/>
          <w:szCs w:val="21"/>
        </w:rPr>
      </w:pPr>
      <w:r w:rsidRPr="00474476">
        <w:rPr>
          <w:bCs/>
          <w:sz w:val="21"/>
          <w:szCs w:val="21"/>
        </w:rPr>
        <w:t xml:space="preserve">The corporate curriculum </w:t>
      </w:r>
    </w:p>
    <w:p w:rsidR="0007453B" w:rsidRPr="00474476" w:rsidRDefault="0007453B" w:rsidP="0007453B">
      <w:pPr>
        <w:numPr>
          <w:ilvl w:val="0"/>
          <w:numId w:val="3"/>
        </w:numPr>
        <w:tabs>
          <w:tab w:val="clear" w:pos="1440"/>
        </w:tabs>
        <w:spacing w:after="120" w:line="240" w:lineRule="auto"/>
        <w:ind w:left="1134" w:hanging="357"/>
        <w:jc w:val="both"/>
        <w:rPr>
          <w:bCs/>
          <w:sz w:val="21"/>
          <w:szCs w:val="21"/>
        </w:rPr>
      </w:pPr>
      <w:r w:rsidRPr="00474476">
        <w:rPr>
          <w:bCs/>
          <w:sz w:val="21"/>
          <w:szCs w:val="21"/>
        </w:rPr>
        <w:t>HRD strategies in the context of resourcing policies</w:t>
      </w:r>
    </w:p>
    <w:p w:rsidR="0007453B" w:rsidRPr="00474476" w:rsidRDefault="0007453B" w:rsidP="0007453B">
      <w:pPr>
        <w:numPr>
          <w:ilvl w:val="0"/>
          <w:numId w:val="3"/>
        </w:numPr>
        <w:tabs>
          <w:tab w:val="clear" w:pos="1440"/>
        </w:tabs>
        <w:spacing w:after="120" w:line="240" w:lineRule="auto"/>
        <w:ind w:left="1134" w:hanging="357"/>
        <w:jc w:val="both"/>
        <w:rPr>
          <w:bCs/>
          <w:sz w:val="21"/>
          <w:szCs w:val="21"/>
        </w:rPr>
      </w:pPr>
      <w:r w:rsidRPr="00474476">
        <w:rPr>
          <w:bCs/>
          <w:sz w:val="21"/>
          <w:szCs w:val="21"/>
        </w:rPr>
        <w:t>Reflective and reflexive practice and continuing professional development</w:t>
      </w:r>
    </w:p>
    <w:p w:rsidR="0007453B" w:rsidRPr="00474476" w:rsidRDefault="0007453B" w:rsidP="0007453B">
      <w:pPr>
        <w:numPr>
          <w:ilvl w:val="0"/>
          <w:numId w:val="3"/>
        </w:numPr>
        <w:tabs>
          <w:tab w:val="clear" w:pos="1440"/>
        </w:tabs>
        <w:spacing w:after="120" w:line="240" w:lineRule="auto"/>
        <w:ind w:left="1134" w:hanging="357"/>
        <w:jc w:val="both"/>
        <w:rPr>
          <w:bCs/>
          <w:sz w:val="21"/>
          <w:szCs w:val="21"/>
        </w:rPr>
      </w:pPr>
      <w:r w:rsidRPr="00474476">
        <w:rPr>
          <w:bCs/>
          <w:sz w:val="21"/>
          <w:szCs w:val="21"/>
        </w:rPr>
        <w:t>HRD and Intellectual Capital</w:t>
      </w:r>
    </w:p>
    <w:p w:rsidR="0007453B" w:rsidRPr="00474476" w:rsidRDefault="0007453B" w:rsidP="0007453B">
      <w:pPr>
        <w:numPr>
          <w:ilvl w:val="0"/>
          <w:numId w:val="3"/>
        </w:numPr>
        <w:tabs>
          <w:tab w:val="clear" w:pos="1440"/>
        </w:tabs>
        <w:spacing w:after="120" w:line="240" w:lineRule="auto"/>
        <w:ind w:left="1134" w:hanging="357"/>
        <w:jc w:val="both"/>
        <w:rPr>
          <w:bCs/>
          <w:sz w:val="21"/>
          <w:szCs w:val="21"/>
        </w:rPr>
      </w:pPr>
      <w:r w:rsidRPr="00474476">
        <w:rPr>
          <w:bCs/>
          <w:sz w:val="21"/>
          <w:szCs w:val="21"/>
        </w:rPr>
        <w:t>Learning and Development in the context of facilitating organizational change</w:t>
      </w:r>
    </w:p>
    <w:p w:rsidR="0007453B" w:rsidRPr="00474476" w:rsidRDefault="0007453B" w:rsidP="0007453B">
      <w:pPr>
        <w:spacing w:after="120"/>
        <w:ind w:left="360" w:right="386"/>
        <w:rPr>
          <w:b/>
          <w:sz w:val="21"/>
          <w:szCs w:val="21"/>
          <w:u w:val="single"/>
        </w:rPr>
      </w:pPr>
    </w:p>
    <w:p w:rsidR="0007453B" w:rsidRPr="00474476" w:rsidRDefault="0007453B" w:rsidP="0007453B">
      <w:pPr>
        <w:spacing w:after="120"/>
        <w:ind w:left="360" w:right="386"/>
        <w:rPr>
          <w:b/>
          <w:sz w:val="21"/>
          <w:szCs w:val="21"/>
          <w:u w:val="single"/>
        </w:rPr>
      </w:pPr>
      <w:r w:rsidRPr="00474476">
        <w:rPr>
          <w:b/>
          <w:sz w:val="21"/>
          <w:szCs w:val="21"/>
          <w:u w:val="single"/>
        </w:rPr>
        <w:t>FURTHER INFORMATION ABOUT THIS MODULE</w:t>
      </w:r>
    </w:p>
    <w:p w:rsidR="0007453B" w:rsidRPr="00474476" w:rsidRDefault="0007453B" w:rsidP="0007453B">
      <w:pPr>
        <w:numPr>
          <w:ilvl w:val="0"/>
          <w:numId w:val="1"/>
        </w:numPr>
        <w:spacing w:after="120" w:line="240" w:lineRule="auto"/>
        <w:ind w:right="386"/>
        <w:jc w:val="both"/>
        <w:rPr>
          <w:bCs/>
          <w:i/>
          <w:sz w:val="21"/>
          <w:szCs w:val="21"/>
        </w:rPr>
      </w:pPr>
      <w:r w:rsidRPr="00474476">
        <w:rPr>
          <w:bCs/>
          <w:sz w:val="21"/>
          <w:szCs w:val="21"/>
        </w:rPr>
        <w:t xml:space="preserve">Further / additional information is available to support this module, including </w:t>
      </w:r>
      <w:r w:rsidRPr="00474476">
        <w:rPr>
          <w:bCs/>
          <w:sz w:val="21"/>
          <w:szCs w:val="21"/>
          <w:u w:val="single"/>
        </w:rPr>
        <w:t>assessment criteria</w:t>
      </w:r>
      <w:r w:rsidRPr="00474476">
        <w:rPr>
          <w:bCs/>
          <w:sz w:val="21"/>
          <w:szCs w:val="21"/>
        </w:rPr>
        <w:t xml:space="preserve"> detailing how your performance in the module will be measured, how you will receive feedback, details of learning resources and key readings </w:t>
      </w:r>
    </w:p>
    <w:p w:rsidR="0007453B" w:rsidRPr="00474476" w:rsidRDefault="0007453B" w:rsidP="0007453B">
      <w:pPr>
        <w:numPr>
          <w:ilvl w:val="0"/>
          <w:numId w:val="1"/>
        </w:numPr>
        <w:spacing w:after="120" w:line="240" w:lineRule="auto"/>
        <w:ind w:right="386"/>
        <w:rPr>
          <w:bCs/>
          <w:i/>
          <w:sz w:val="21"/>
          <w:szCs w:val="21"/>
        </w:rPr>
      </w:pPr>
      <w:r w:rsidRPr="00474476">
        <w:rPr>
          <w:bCs/>
          <w:sz w:val="21"/>
          <w:szCs w:val="21"/>
        </w:rPr>
        <w:t>This information can be found in:</w:t>
      </w:r>
    </w:p>
    <w:p w:rsidR="0007453B" w:rsidRPr="00474476" w:rsidRDefault="0007453B" w:rsidP="0007453B">
      <w:pPr>
        <w:numPr>
          <w:ilvl w:val="0"/>
          <w:numId w:val="2"/>
        </w:numPr>
        <w:tabs>
          <w:tab w:val="clear" w:pos="720"/>
          <w:tab w:val="num" w:pos="1080"/>
        </w:tabs>
        <w:spacing w:after="120" w:line="240" w:lineRule="auto"/>
        <w:ind w:right="26" w:firstLine="0"/>
        <w:jc w:val="both"/>
        <w:rPr>
          <w:bCs/>
          <w:i/>
          <w:sz w:val="21"/>
          <w:szCs w:val="21"/>
        </w:rPr>
      </w:pPr>
      <w:r w:rsidRPr="00474476">
        <w:rPr>
          <w:bCs/>
          <w:i/>
          <w:sz w:val="21"/>
          <w:szCs w:val="21"/>
        </w:rPr>
        <w:t>The course handbook</w:t>
      </w:r>
    </w:p>
    <w:p w:rsidR="0007453B" w:rsidRPr="00474476" w:rsidRDefault="0007453B" w:rsidP="0007453B">
      <w:pPr>
        <w:numPr>
          <w:ilvl w:val="0"/>
          <w:numId w:val="2"/>
        </w:numPr>
        <w:tabs>
          <w:tab w:val="clear" w:pos="720"/>
          <w:tab w:val="num" w:pos="1080"/>
        </w:tabs>
        <w:spacing w:after="120" w:line="240" w:lineRule="auto"/>
        <w:ind w:right="26" w:firstLine="0"/>
        <w:jc w:val="both"/>
        <w:rPr>
          <w:bCs/>
          <w:i/>
          <w:sz w:val="21"/>
          <w:szCs w:val="21"/>
        </w:rPr>
      </w:pPr>
      <w:r w:rsidRPr="00474476">
        <w:rPr>
          <w:bCs/>
          <w:i/>
          <w:sz w:val="21"/>
          <w:szCs w:val="21"/>
        </w:rPr>
        <w:t>The module handbook</w:t>
      </w:r>
    </w:p>
    <w:p w:rsidR="0007453B" w:rsidRPr="00474476" w:rsidRDefault="0007453B" w:rsidP="0007453B">
      <w:pPr>
        <w:numPr>
          <w:ilvl w:val="0"/>
          <w:numId w:val="2"/>
        </w:numPr>
        <w:tabs>
          <w:tab w:val="clear" w:pos="720"/>
          <w:tab w:val="num" w:pos="1080"/>
        </w:tabs>
        <w:spacing w:after="120" w:line="240" w:lineRule="auto"/>
        <w:ind w:right="26" w:firstLine="0"/>
        <w:jc w:val="both"/>
        <w:rPr>
          <w:bCs/>
          <w:i/>
          <w:sz w:val="21"/>
          <w:szCs w:val="21"/>
        </w:rPr>
      </w:pPr>
      <w:r w:rsidRPr="00474476">
        <w:rPr>
          <w:bCs/>
          <w:i/>
          <w:sz w:val="21"/>
          <w:szCs w:val="21"/>
        </w:rPr>
        <w:t>The blackboard site for the course</w:t>
      </w:r>
    </w:p>
    <w:p w:rsidR="0007453B" w:rsidRPr="00474476" w:rsidRDefault="0007453B" w:rsidP="0007453B">
      <w:pPr>
        <w:numPr>
          <w:ilvl w:val="0"/>
          <w:numId w:val="1"/>
        </w:numPr>
        <w:spacing w:after="120" w:line="240" w:lineRule="auto"/>
        <w:ind w:right="386"/>
        <w:rPr>
          <w:bCs/>
          <w:sz w:val="21"/>
          <w:szCs w:val="21"/>
        </w:rPr>
      </w:pPr>
      <w:r w:rsidRPr="00474476">
        <w:rPr>
          <w:bCs/>
          <w:sz w:val="21"/>
          <w:szCs w:val="21"/>
        </w:rPr>
        <w:lastRenderedPageBreak/>
        <w:t>Note that this additional information may be subject to change from year to year</w:t>
      </w:r>
    </w:p>
    <w:p w:rsidR="0007453B" w:rsidRPr="00474476" w:rsidRDefault="0007453B" w:rsidP="0007453B">
      <w:pPr>
        <w:spacing w:after="120"/>
        <w:ind w:right="386"/>
        <w:rPr>
          <w:bCs/>
          <w:sz w:val="21"/>
          <w:szCs w:val="21"/>
        </w:rPr>
      </w:pPr>
    </w:p>
    <w:p w:rsidR="0007453B" w:rsidRPr="00474476" w:rsidRDefault="0007453B" w:rsidP="0007453B">
      <w:pPr>
        <w:rPr>
          <w:b/>
          <w:bCs/>
        </w:rPr>
      </w:pPr>
    </w:p>
    <w:p w:rsidR="0007453B" w:rsidRDefault="0007453B" w:rsidP="0007453B">
      <w:pPr>
        <w:spacing w:after="200"/>
        <w:sectPr w:rsidR="0007453B" w:rsidSect="00CC7721">
          <w:pgSz w:w="11906" w:h="16838"/>
          <w:pgMar w:top="1440" w:right="1440" w:bottom="1440" w:left="1440" w:header="708" w:footer="708" w:gutter="0"/>
          <w:cols w:space="708"/>
          <w:docGrid w:linePitch="360"/>
        </w:sectPr>
      </w:pPr>
    </w:p>
    <w:tbl>
      <w:tblPr>
        <w:tblW w:w="0" w:type="auto"/>
        <w:tblLook w:val="04A0"/>
      </w:tblPr>
      <w:tblGrid>
        <w:gridCol w:w="1360"/>
      </w:tblGrid>
      <w:tr w:rsidR="0007453B" w:rsidRPr="00474476" w:rsidTr="0070057D">
        <w:tc>
          <w:tcPr>
            <w:tcW w:w="1360" w:type="dxa"/>
            <w:tcBorders>
              <w:top w:val="nil"/>
              <w:left w:val="single" w:sz="4" w:space="0" w:color="auto"/>
              <w:bottom w:val="single" w:sz="4" w:space="0" w:color="auto"/>
            </w:tcBorders>
            <w:shd w:val="clear" w:color="auto" w:fill="auto"/>
            <w:vAlign w:val="bottom"/>
            <w:hideMark/>
          </w:tcPr>
          <w:p w:rsidR="0007453B" w:rsidRPr="00474476" w:rsidRDefault="0007453B" w:rsidP="00691EA9">
            <w:pPr>
              <w:rPr>
                <w:sz w:val="20"/>
              </w:rPr>
            </w:pPr>
          </w:p>
        </w:tc>
      </w:tr>
    </w:tbl>
    <w:p w:rsidR="00CC7721" w:rsidRDefault="00CC7721" w:rsidP="0007453B">
      <w:pPr>
        <w:spacing w:after="200"/>
      </w:pPr>
    </w:p>
    <w:sectPr w:rsidR="00CC7721" w:rsidSect="0007453B">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60897"/>
    <w:multiLevelType w:val="hybridMultilevel"/>
    <w:tmpl w:val="6D361D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4C03D47"/>
    <w:multiLevelType w:val="hybridMultilevel"/>
    <w:tmpl w:val="0E3EDE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64281B4D"/>
    <w:multiLevelType w:val="hybridMultilevel"/>
    <w:tmpl w:val="F8743B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07453B"/>
    <w:rsid w:val="00004A07"/>
    <w:rsid w:val="00004F24"/>
    <w:rsid w:val="00043572"/>
    <w:rsid w:val="0006706D"/>
    <w:rsid w:val="0007453B"/>
    <w:rsid w:val="0007654B"/>
    <w:rsid w:val="00093027"/>
    <w:rsid w:val="000B53AC"/>
    <w:rsid w:val="000B5D25"/>
    <w:rsid w:val="000C0393"/>
    <w:rsid w:val="000C18C3"/>
    <w:rsid w:val="000E5A1A"/>
    <w:rsid w:val="000F1A7C"/>
    <w:rsid w:val="0011593A"/>
    <w:rsid w:val="00133AA4"/>
    <w:rsid w:val="0014513A"/>
    <w:rsid w:val="00175099"/>
    <w:rsid w:val="00185431"/>
    <w:rsid w:val="001A7BEE"/>
    <w:rsid w:val="001B4A94"/>
    <w:rsid w:val="001B7DF5"/>
    <w:rsid w:val="001E14CC"/>
    <w:rsid w:val="001E43A5"/>
    <w:rsid w:val="0020429A"/>
    <w:rsid w:val="0021692D"/>
    <w:rsid w:val="00224D6B"/>
    <w:rsid w:val="0023009C"/>
    <w:rsid w:val="00253F46"/>
    <w:rsid w:val="00282700"/>
    <w:rsid w:val="002868EC"/>
    <w:rsid w:val="002A124B"/>
    <w:rsid w:val="002B177E"/>
    <w:rsid w:val="002E183F"/>
    <w:rsid w:val="00300A8D"/>
    <w:rsid w:val="003107BB"/>
    <w:rsid w:val="0031144A"/>
    <w:rsid w:val="00315F66"/>
    <w:rsid w:val="00344B18"/>
    <w:rsid w:val="00362C56"/>
    <w:rsid w:val="00391FB8"/>
    <w:rsid w:val="0039290F"/>
    <w:rsid w:val="003D6DB4"/>
    <w:rsid w:val="003E74EE"/>
    <w:rsid w:val="003F7C71"/>
    <w:rsid w:val="00430E82"/>
    <w:rsid w:val="0044710E"/>
    <w:rsid w:val="00462D63"/>
    <w:rsid w:val="004665F7"/>
    <w:rsid w:val="00470561"/>
    <w:rsid w:val="004837B6"/>
    <w:rsid w:val="004A5171"/>
    <w:rsid w:val="004A7D81"/>
    <w:rsid w:val="004B70DC"/>
    <w:rsid w:val="004C475A"/>
    <w:rsid w:val="005225A6"/>
    <w:rsid w:val="00524D79"/>
    <w:rsid w:val="00531FFE"/>
    <w:rsid w:val="00551884"/>
    <w:rsid w:val="00560162"/>
    <w:rsid w:val="00562A12"/>
    <w:rsid w:val="00576054"/>
    <w:rsid w:val="005A0341"/>
    <w:rsid w:val="005B21D2"/>
    <w:rsid w:val="005B4D19"/>
    <w:rsid w:val="005C2584"/>
    <w:rsid w:val="005E6F97"/>
    <w:rsid w:val="00641E7D"/>
    <w:rsid w:val="00653EA7"/>
    <w:rsid w:val="0066298C"/>
    <w:rsid w:val="00694F0C"/>
    <w:rsid w:val="006A69FA"/>
    <w:rsid w:val="006D7BCB"/>
    <w:rsid w:val="006E10E8"/>
    <w:rsid w:val="006E566B"/>
    <w:rsid w:val="00714760"/>
    <w:rsid w:val="00723862"/>
    <w:rsid w:val="007268F3"/>
    <w:rsid w:val="0073270E"/>
    <w:rsid w:val="007371B1"/>
    <w:rsid w:val="00751F67"/>
    <w:rsid w:val="00756696"/>
    <w:rsid w:val="00760575"/>
    <w:rsid w:val="007B5DF3"/>
    <w:rsid w:val="007B778D"/>
    <w:rsid w:val="007E1C68"/>
    <w:rsid w:val="007E3976"/>
    <w:rsid w:val="007E7ADA"/>
    <w:rsid w:val="00801209"/>
    <w:rsid w:val="00812C5F"/>
    <w:rsid w:val="008214A4"/>
    <w:rsid w:val="00822B71"/>
    <w:rsid w:val="0083349C"/>
    <w:rsid w:val="0083496F"/>
    <w:rsid w:val="0086739C"/>
    <w:rsid w:val="00872294"/>
    <w:rsid w:val="00884065"/>
    <w:rsid w:val="008B4C09"/>
    <w:rsid w:val="008C4A09"/>
    <w:rsid w:val="008D0154"/>
    <w:rsid w:val="008D377E"/>
    <w:rsid w:val="009331DB"/>
    <w:rsid w:val="009420D3"/>
    <w:rsid w:val="0094525B"/>
    <w:rsid w:val="009528D4"/>
    <w:rsid w:val="00971451"/>
    <w:rsid w:val="009A11C9"/>
    <w:rsid w:val="009A17A2"/>
    <w:rsid w:val="009A26C9"/>
    <w:rsid w:val="009A5F41"/>
    <w:rsid w:val="009B0B44"/>
    <w:rsid w:val="009B101B"/>
    <w:rsid w:val="00A13F07"/>
    <w:rsid w:val="00A157F8"/>
    <w:rsid w:val="00A22C4C"/>
    <w:rsid w:val="00A24920"/>
    <w:rsid w:val="00A405F4"/>
    <w:rsid w:val="00A41A6E"/>
    <w:rsid w:val="00A5407E"/>
    <w:rsid w:val="00A618A0"/>
    <w:rsid w:val="00A63423"/>
    <w:rsid w:val="00A9743E"/>
    <w:rsid w:val="00AB3696"/>
    <w:rsid w:val="00B06AFB"/>
    <w:rsid w:val="00B06C5B"/>
    <w:rsid w:val="00B114DC"/>
    <w:rsid w:val="00B309D6"/>
    <w:rsid w:val="00B542E8"/>
    <w:rsid w:val="00B60C06"/>
    <w:rsid w:val="00B63B29"/>
    <w:rsid w:val="00BB20A6"/>
    <w:rsid w:val="00BD0B37"/>
    <w:rsid w:val="00BE5F14"/>
    <w:rsid w:val="00BE791A"/>
    <w:rsid w:val="00C127E4"/>
    <w:rsid w:val="00C157E1"/>
    <w:rsid w:val="00C244CF"/>
    <w:rsid w:val="00C25A2B"/>
    <w:rsid w:val="00C409EF"/>
    <w:rsid w:val="00C60E1F"/>
    <w:rsid w:val="00C63136"/>
    <w:rsid w:val="00C7207F"/>
    <w:rsid w:val="00C746BE"/>
    <w:rsid w:val="00C7796F"/>
    <w:rsid w:val="00CA25DC"/>
    <w:rsid w:val="00CC371A"/>
    <w:rsid w:val="00CC7721"/>
    <w:rsid w:val="00CD361C"/>
    <w:rsid w:val="00CD701B"/>
    <w:rsid w:val="00CE27A8"/>
    <w:rsid w:val="00CE554A"/>
    <w:rsid w:val="00D13394"/>
    <w:rsid w:val="00D21572"/>
    <w:rsid w:val="00D3051A"/>
    <w:rsid w:val="00D35716"/>
    <w:rsid w:val="00DC465E"/>
    <w:rsid w:val="00DC4ACE"/>
    <w:rsid w:val="00DD5504"/>
    <w:rsid w:val="00DD6D24"/>
    <w:rsid w:val="00DF6762"/>
    <w:rsid w:val="00DF7F46"/>
    <w:rsid w:val="00E1092A"/>
    <w:rsid w:val="00E15636"/>
    <w:rsid w:val="00E23C78"/>
    <w:rsid w:val="00E308E7"/>
    <w:rsid w:val="00E327C2"/>
    <w:rsid w:val="00E519F5"/>
    <w:rsid w:val="00E60357"/>
    <w:rsid w:val="00E6280F"/>
    <w:rsid w:val="00E701E0"/>
    <w:rsid w:val="00E75C5C"/>
    <w:rsid w:val="00E835DD"/>
    <w:rsid w:val="00E873FC"/>
    <w:rsid w:val="00EB1F3B"/>
    <w:rsid w:val="00EB78D4"/>
    <w:rsid w:val="00ED0746"/>
    <w:rsid w:val="00EE69A6"/>
    <w:rsid w:val="00F044BA"/>
    <w:rsid w:val="00F12751"/>
    <w:rsid w:val="00F32845"/>
    <w:rsid w:val="00F36143"/>
    <w:rsid w:val="00F7693F"/>
    <w:rsid w:val="00F82FFE"/>
    <w:rsid w:val="00FB3E3B"/>
    <w:rsid w:val="00FD3764"/>
    <w:rsid w:val="00FD70D0"/>
    <w:rsid w:val="00FE541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3B"/>
    <w:pPr>
      <w:spacing w:after="0"/>
    </w:pPr>
    <w:rPr>
      <w:rFonts w:eastAsia="SimSun"/>
      <w:szCs w:val="22"/>
    </w:rPr>
  </w:style>
  <w:style w:type="paragraph" w:styleId="Heading3">
    <w:name w:val="heading 3"/>
    <w:basedOn w:val="Normal"/>
    <w:next w:val="Normal"/>
    <w:link w:val="Heading3Char"/>
    <w:uiPriority w:val="9"/>
    <w:unhideWhenUsed/>
    <w:qFormat/>
    <w:rsid w:val="0007453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453B"/>
    <w:rPr>
      <w:rFonts w:ascii="Cambria" w:eastAsia="SimSun" w:hAnsi="Cambria" w:cs="Times New Roman"/>
      <w:b/>
      <w:bCs/>
      <w:sz w:val="26"/>
      <w:szCs w:val="26"/>
    </w:rPr>
  </w:style>
  <w:style w:type="paragraph" w:customStyle="1" w:styleId="GuideHeading">
    <w:name w:val="GuideHeading"/>
    <w:basedOn w:val="Normal"/>
    <w:rsid w:val="0007453B"/>
    <w:pPr>
      <w:spacing w:line="240" w:lineRule="auto"/>
    </w:pPr>
    <w:rPr>
      <w:rFonts w:eastAsia="Times New Roman"/>
      <w:b/>
      <w:bCs/>
      <w:sz w:val="22"/>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649</Words>
  <Characters>3705</Characters>
  <Application>Microsoft Office Word</Application>
  <DocSecurity>0</DocSecurity>
  <Lines>30</Lines>
  <Paragraphs>8</Paragraphs>
  <ScaleCrop>false</ScaleCrop>
  <Company>Sheffield Hallam University</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West</dc:creator>
  <cp:keywords/>
  <dc:description/>
  <cp:lastModifiedBy>Victoria West</cp:lastModifiedBy>
  <cp:revision>1</cp:revision>
  <dcterms:created xsi:type="dcterms:W3CDTF">2011-08-01T13:54:00Z</dcterms:created>
  <dcterms:modified xsi:type="dcterms:W3CDTF">2011-08-01T14:03:00Z</dcterms:modified>
</cp:coreProperties>
</file>